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00" w:rsidRPr="004F5800" w:rsidRDefault="004F5800" w:rsidP="004F5800">
      <w:pPr>
        <w:autoSpaceDE w:val="0"/>
        <w:autoSpaceDN w:val="0"/>
        <w:adjustRightInd w:val="0"/>
        <w:spacing w:after="120" w:line="24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5800">
        <w:rPr>
          <w:rFonts w:ascii="Times New Roman" w:hAnsi="Times New Roman" w:cs="Times New Roman"/>
          <w:b/>
          <w:sz w:val="24"/>
          <w:szCs w:val="24"/>
        </w:rPr>
        <w:t xml:space="preserve">Дворовая территория по адресу: Нижегородская область, г. Дзержинск, </w:t>
      </w:r>
      <w:r w:rsidRPr="004F5800">
        <w:rPr>
          <w:rFonts w:ascii="Times New Roman" w:eastAsia="Calibri" w:hAnsi="Times New Roman" w:cs="Times New Roman"/>
          <w:b/>
          <w:sz w:val="24"/>
          <w:szCs w:val="24"/>
        </w:rPr>
        <w:t>ул. Попова, дома 36, 36А</w:t>
      </w:r>
      <w:r w:rsidRPr="004F5800">
        <w:rPr>
          <w:rFonts w:ascii="Times New Roman" w:hAnsi="Times New Roman" w:cs="Times New Roman"/>
          <w:b/>
          <w:sz w:val="24"/>
          <w:szCs w:val="24"/>
        </w:rPr>
        <w:t>.</w:t>
      </w:r>
    </w:p>
    <w:p w:rsidR="004F5800" w:rsidRPr="004F5800" w:rsidRDefault="004F5800" w:rsidP="004F5800">
      <w:pPr>
        <w:widowControl w:val="0"/>
        <w:tabs>
          <w:tab w:val="center" w:pos="4153"/>
          <w:tab w:val="right" w:pos="8306"/>
        </w:tabs>
        <w:suppressAutoHyphens/>
        <w:autoSpaceDE w:val="0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800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виды работ, предусмотренные локально-сметным расчетом, должны быть выполнены в полном объеме.</w:t>
      </w:r>
    </w:p>
    <w:p w:rsidR="004F5800" w:rsidRPr="004F5800" w:rsidRDefault="004F5800" w:rsidP="004F5800">
      <w:pPr>
        <w:spacing w:after="120" w:line="240" w:lineRule="atLeast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F5800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</w:t>
      </w:r>
      <w:r w:rsidRPr="004F580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.</w:t>
      </w:r>
      <w:r w:rsidRPr="004F580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F5800" w:rsidRPr="004F5800" w:rsidRDefault="004F5800" w:rsidP="004F58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5800">
        <w:rPr>
          <w:rFonts w:ascii="Times New Roman" w:hAnsi="Times New Roman" w:cs="Times New Roman"/>
          <w:i/>
          <w:sz w:val="24"/>
          <w:szCs w:val="24"/>
          <w:u w:val="single"/>
        </w:rPr>
        <w:t>1. Состав работ по</w:t>
      </w:r>
      <w:r w:rsidRPr="004F580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ремонту асфальтобетонного покрытия:</w:t>
      </w:r>
    </w:p>
    <w:p w:rsidR="004F5800" w:rsidRPr="004F5800" w:rsidRDefault="004F5800" w:rsidP="004F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0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F5800">
        <w:rPr>
          <w:rFonts w:ascii="Times New Roman" w:eastAsia="Calibri" w:hAnsi="Times New Roman" w:cs="Times New Roman"/>
          <w:sz w:val="24"/>
          <w:szCs w:val="24"/>
        </w:rPr>
        <w:t>Разборка бортовых камней на щебеночном основании;</w:t>
      </w:r>
    </w:p>
    <w:p w:rsidR="004F5800" w:rsidRPr="004F5800" w:rsidRDefault="004F5800" w:rsidP="004F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00">
        <w:rPr>
          <w:rFonts w:ascii="Times New Roman" w:eastAsia="Calibri" w:hAnsi="Times New Roman" w:cs="Times New Roman"/>
          <w:sz w:val="24"/>
          <w:szCs w:val="24"/>
        </w:rPr>
        <w:t>- Устройство оснований из кирпичного или известнякового щебня;</w:t>
      </w:r>
    </w:p>
    <w:p w:rsidR="004F5800" w:rsidRPr="004F5800" w:rsidRDefault="004F5800" w:rsidP="004F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00">
        <w:rPr>
          <w:rFonts w:ascii="Times New Roman" w:eastAsia="Calibri" w:hAnsi="Times New Roman" w:cs="Times New Roman"/>
          <w:sz w:val="24"/>
          <w:szCs w:val="24"/>
        </w:rPr>
        <w:t>-Устройство асфальтобетонных покрытий дорожек и тротуаров однослойных из литой мелкозернистой асфальтобетонной смеси толщиной 4 см;</w:t>
      </w:r>
    </w:p>
    <w:p w:rsidR="004F5800" w:rsidRPr="004F5800" w:rsidRDefault="004F5800" w:rsidP="004F5800">
      <w:pPr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00">
        <w:rPr>
          <w:rFonts w:ascii="Times New Roman" w:eastAsia="Calibri" w:hAnsi="Times New Roman" w:cs="Times New Roman"/>
          <w:sz w:val="24"/>
          <w:szCs w:val="24"/>
        </w:rPr>
        <w:t>- Установка тротуарных бортовых камней бетонных при других видах покрытий;</w:t>
      </w:r>
    </w:p>
    <w:p w:rsidR="004F5800" w:rsidRPr="004F5800" w:rsidRDefault="004F5800" w:rsidP="004F5800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58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5800">
        <w:rPr>
          <w:rFonts w:ascii="Times New Roman" w:hAnsi="Times New Roman" w:cs="Times New Roman"/>
          <w:i/>
          <w:sz w:val="24"/>
          <w:szCs w:val="24"/>
          <w:u w:val="single"/>
        </w:rPr>
        <w:t>2. Состав работ по у</w:t>
      </w:r>
      <w:r w:rsidRPr="004F5800">
        <w:rPr>
          <w:rFonts w:ascii="Times New Roman" w:hAnsi="Times New Roman" w:cs="Times New Roman"/>
          <w:bCs/>
          <w:i/>
          <w:sz w:val="24"/>
          <w:szCs w:val="24"/>
          <w:u w:val="single"/>
        </w:rPr>
        <w:t>стройству</w:t>
      </w:r>
      <w:r w:rsidRPr="004F5800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покрытия для спортивной площадки</w:t>
      </w:r>
      <w:r w:rsidRPr="004F580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F5800" w:rsidRPr="004F5800" w:rsidRDefault="004F5800" w:rsidP="004F580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0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F5800">
        <w:rPr>
          <w:rFonts w:ascii="Times New Roman" w:eastAsia="Calibri" w:hAnsi="Times New Roman" w:cs="Times New Roman"/>
          <w:sz w:val="24"/>
          <w:szCs w:val="24"/>
        </w:rPr>
        <w:t>Устройство подстилающих и выравнивающих слоев оснований: из песка;</w:t>
      </w:r>
    </w:p>
    <w:p w:rsidR="004F5800" w:rsidRPr="004F5800" w:rsidRDefault="004F5800" w:rsidP="004F5800">
      <w:pPr>
        <w:tabs>
          <w:tab w:val="num" w:pos="0"/>
        </w:tabs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00">
        <w:rPr>
          <w:rFonts w:ascii="Times New Roman" w:eastAsia="Calibri" w:hAnsi="Times New Roman" w:cs="Times New Roman"/>
          <w:sz w:val="24"/>
          <w:szCs w:val="24"/>
        </w:rPr>
        <w:t>- Устройство резиновых покрытий;</w:t>
      </w:r>
    </w:p>
    <w:p w:rsidR="004F5800" w:rsidRPr="004F5800" w:rsidRDefault="004F5800" w:rsidP="004F5800">
      <w:pPr>
        <w:spacing w:after="12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5800">
        <w:rPr>
          <w:rFonts w:ascii="Times New Roman" w:hAnsi="Times New Roman" w:cs="Times New Roman"/>
          <w:i/>
          <w:kern w:val="3"/>
          <w:sz w:val="24"/>
          <w:szCs w:val="24"/>
          <w:u w:val="single"/>
          <w:lang w:bidi="hi-IN"/>
        </w:rPr>
        <w:t>3.</w:t>
      </w:r>
      <w:r w:rsidRPr="004F5800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Установка детского игрового, спортивного оборудования и МАФ</w:t>
      </w:r>
    </w:p>
    <w:p w:rsidR="004F5800" w:rsidRPr="004F5800" w:rsidRDefault="004F5800" w:rsidP="004F5800">
      <w:pPr>
        <w:spacing w:after="0" w:line="240" w:lineRule="auto"/>
        <w:jc w:val="both"/>
        <w:rPr>
          <w:rFonts w:ascii="Times New Roman" w:hAnsi="Times New Roman" w:cs="Times New Roman"/>
          <w:i/>
          <w:kern w:val="3"/>
          <w:sz w:val="24"/>
          <w:szCs w:val="24"/>
          <w:u w:val="single"/>
          <w:lang w:bidi="hi-IN"/>
        </w:rPr>
      </w:pPr>
    </w:p>
    <w:tbl>
      <w:tblPr>
        <w:tblW w:w="98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4695"/>
        <w:gridCol w:w="851"/>
        <w:gridCol w:w="992"/>
        <w:gridCol w:w="2604"/>
      </w:tblGrid>
      <w:tr w:rsidR="004F5800" w:rsidRPr="004F5800" w:rsidTr="007D1024">
        <w:tc>
          <w:tcPr>
            <w:tcW w:w="6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5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04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</w:p>
        </w:tc>
      </w:tr>
      <w:tr w:rsidR="004F5800" w:rsidRPr="004F5800" w:rsidTr="007D1024">
        <w:tc>
          <w:tcPr>
            <w:tcW w:w="6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Качели двойные малые с жесткими подвесами</w:t>
            </w:r>
          </w:p>
        </w:tc>
        <w:tc>
          <w:tcPr>
            <w:tcW w:w="851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noProof/>
                <w:lang w:eastAsia="ru-RU"/>
              </w:rPr>
              <w:drawing>
                <wp:inline distT="0" distB="0" distL="0" distR="0" wp14:anchorId="5C85F385" wp14:editId="19DC0E09">
                  <wp:extent cx="819150" cy="457200"/>
                  <wp:effectExtent l="0" t="0" r="0" b="0"/>
                  <wp:docPr id="1" name="Рисунок 1" descr="Описание: kacheli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kacheli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800" w:rsidRPr="004F5800" w:rsidTr="007D1024">
        <w:tc>
          <w:tcPr>
            <w:tcW w:w="6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              </w:t>
            </w:r>
          </w:p>
        </w:tc>
        <w:tc>
          <w:tcPr>
            <w:tcW w:w="851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58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132525" wp14:editId="3B84C6EC">
                  <wp:extent cx="781050" cy="781050"/>
                  <wp:effectExtent l="0" t="0" r="0" b="0"/>
                  <wp:docPr id="2" name="Picture 65" descr="http://www.relyef-nn.ru/wp-content/uploads/2012/04/PS-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Picture 65" descr="http://www.relyef-nn.ru/wp-content/uploads/2012/04/PS-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800" w:rsidRPr="004F5800" w:rsidTr="007D1024">
        <w:tc>
          <w:tcPr>
            <w:tcW w:w="6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  <w:p w:rsidR="004F5800" w:rsidRPr="004F5800" w:rsidRDefault="004F5800" w:rsidP="004F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F5800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D01456" wp14:editId="1CA927D2">
                  <wp:extent cx="712269" cy="704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269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800" w:rsidRPr="004F5800" w:rsidTr="007D1024">
        <w:tc>
          <w:tcPr>
            <w:tcW w:w="6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Качалка-балансир средняя</w:t>
            </w:r>
          </w:p>
          <w:p w:rsidR="004F5800" w:rsidRPr="004F5800" w:rsidRDefault="004F5800" w:rsidP="004F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697171" wp14:editId="0831C0D7">
                  <wp:extent cx="614363" cy="819150"/>
                  <wp:effectExtent l="0" t="0" r="0" b="0"/>
                  <wp:docPr id="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4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65" cy="82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800" w:rsidRPr="004F5800" w:rsidTr="007D1024">
        <w:tc>
          <w:tcPr>
            <w:tcW w:w="6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5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Карусель круговая с рулем</w:t>
            </w:r>
          </w:p>
          <w:p w:rsidR="004F5800" w:rsidRPr="004F5800" w:rsidRDefault="004F5800" w:rsidP="004F580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58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BFA1D6" wp14:editId="0DB0959E">
                  <wp:extent cx="552450" cy="746554"/>
                  <wp:effectExtent l="0" t="0" r="0" b="0"/>
                  <wp:docPr id="5" name="Picture 30" descr="http://www.relyef-nn.ru/wp-content/uploads/2012/04/kr-03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5" name="Picture 30" descr="http://www.relyef-nn.ru/wp-content/uploads/2012/04/kr-03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69" cy="74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800" w:rsidRPr="004F5800" w:rsidTr="007D1024">
        <w:tc>
          <w:tcPr>
            <w:tcW w:w="6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5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 xml:space="preserve">Горка зимняя       </w:t>
            </w:r>
          </w:p>
        </w:tc>
        <w:tc>
          <w:tcPr>
            <w:tcW w:w="851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58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688013" wp14:editId="26064327">
                  <wp:extent cx="485775" cy="735806"/>
                  <wp:effectExtent l="0" t="0" r="0" b="7620"/>
                  <wp:docPr id="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0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4" cy="73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800" w:rsidRPr="004F5800" w:rsidTr="007D1024">
        <w:tc>
          <w:tcPr>
            <w:tcW w:w="6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5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Лавочка эконом</w:t>
            </w:r>
          </w:p>
        </w:tc>
        <w:tc>
          <w:tcPr>
            <w:tcW w:w="851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58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4AF85F" wp14:editId="2C27401C">
                  <wp:extent cx="636224" cy="733425"/>
                  <wp:effectExtent l="0" t="0" r="0" b="0"/>
                  <wp:docPr id="7" name="Рисунок 14" descr="http://www.relyef-nn.ru/wp-content/uploads/2015/06/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7" name="Рисунок 14" descr="http://www.relyef-nn.ru/wp-content/uploads/2015/06/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835" cy="73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800" w:rsidRPr="004F5800" w:rsidTr="007D1024">
        <w:tc>
          <w:tcPr>
            <w:tcW w:w="6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95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 xml:space="preserve">Урна   </w:t>
            </w:r>
          </w:p>
        </w:tc>
        <w:tc>
          <w:tcPr>
            <w:tcW w:w="851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4" w:type="dxa"/>
            <w:shd w:val="clear" w:color="auto" w:fill="auto"/>
          </w:tcPr>
          <w:p w:rsidR="004F5800" w:rsidRPr="004F5800" w:rsidRDefault="004F5800" w:rsidP="004F580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58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D345B7" wp14:editId="5C266BA0">
                  <wp:extent cx="628650" cy="628650"/>
                  <wp:effectExtent l="0" t="0" r="0" b="0"/>
                  <wp:docPr id="8" name="Рисунок 15" descr="http://www.relyef-nn.ru/wp-content/uploads/2012/04/MF-08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8" name="Рисунок 15" descr="http://www.relyef-nn.ru/wp-content/uploads/2012/04/MF-08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800" w:rsidRPr="004F5800" w:rsidRDefault="004F5800" w:rsidP="004F58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F5800" w:rsidRPr="004F5800" w:rsidRDefault="004F5800" w:rsidP="004F5800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5800">
        <w:rPr>
          <w:rFonts w:ascii="Times New Roman" w:hAnsi="Times New Roman" w:cs="Times New Roman"/>
          <w:b/>
          <w:i/>
          <w:sz w:val="24"/>
          <w:szCs w:val="24"/>
          <w:u w:val="single"/>
        </w:rPr>
        <w:t>Озеленение:</w:t>
      </w:r>
    </w:p>
    <w:p w:rsidR="004F5800" w:rsidRPr="004F5800" w:rsidRDefault="004F5800" w:rsidP="004F58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F58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1.Корчевка пней</w:t>
      </w:r>
    </w:p>
    <w:p w:rsidR="004F5800" w:rsidRPr="004F5800" w:rsidRDefault="004F5800" w:rsidP="004F5800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800">
        <w:rPr>
          <w:rFonts w:ascii="Times New Roman" w:hAnsi="Times New Roman" w:cs="Times New Roman"/>
          <w:bCs/>
          <w:sz w:val="24"/>
          <w:szCs w:val="24"/>
        </w:rPr>
        <w:t>Подготовка к благоустройству территорий должна начинаться с согласования земляных работ.</w:t>
      </w:r>
    </w:p>
    <w:p w:rsidR="004F5800" w:rsidRPr="004F5800" w:rsidRDefault="004F5800" w:rsidP="004F58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800">
        <w:rPr>
          <w:rFonts w:ascii="Times New Roman" w:hAnsi="Times New Roman" w:cs="Times New Roman"/>
          <w:bCs/>
          <w:sz w:val="24"/>
          <w:szCs w:val="24"/>
        </w:rPr>
        <w:t>Порядок выполнения работ:</w:t>
      </w:r>
    </w:p>
    <w:p w:rsidR="004F5800" w:rsidRPr="004F5800" w:rsidRDefault="004F5800" w:rsidP="004F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800">
        <w:rPr>
          <w:rFonts w:ascii="Times New Roman" w:hAnsi="Times New Roman" w:cs="Times New Roman"/>
          <w:sz w:val="24"/>
          <w:szCs w:val="24"/>
        </w:rPr>
        <w:t>- Установка дорожных знаков и ограждений;</w:t>
      </w:r>
    </w:p>
    <w:p w:rsidR="004F5800" w:rsidRPr="004F5800" w:rsidRDefault="004F5800" w:rsidP="004F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800">
        <w:rPr>
          <w:rFonts w:ascii="Times New Roman" w:hAnsi="Times New Roman" w:cs="Times New Roman"/>
          <w:sz w:val="24"/>
          <w:szCs w:val="24"/>
        </w:rPr>
        <w:t>-</w:t>
      </w:r>
      <w:r w:rsidRPr="004F5800">
        <w:rPr>
          <w:rFonts w:ascii="Times New Roman" w:hAnsi="Times New Roman" w:cs="Times New Roman"/>
          <w:bCs/>
          <w:sz w:val="24"/>
          <w:szCs w:val="24"/>
        </w:rPr>
        <w:t xml:space="preserve">  Корчевка пней вручную</w:t>
      </w:r>
      <w:r w:rsidRPr="004F5800">
        <w:rPr>
          <w:rFonts w:ascii="Times New Roman" w:hAnsi="Times New Roman" w:cs="Times New Roman"/>
          <w:sz w:val="24"/>
          <w:szCs w:val="24"/>
        </w:rPr>
        <w:t>;</w:t>
      </w:r>
    </w:p>
    <w:p w:rsidR="004F5800" w:rsidRPr="004F5800" w:rsidRDefault="004F5800" w:rsidP="004F58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800">
        <w:rPr>
          <w:rFonts w:ascii="Times New Roman" w:hAnsi="Times New Roman" w:cs="Times New Roman"/>
          <w:bCs/>
          <w:sz w:val="24"/>
          <w:szCs w:val="24"/>
        </w:rPr>
        <w:t>- Уборка порубочных остатков и их складирование в кучи;</w:t>
      </w:r>
    </w:p>
    <w:p w:rsidR="004F5800" w:rsidRPr="004F5800" w:rsidRDefault="004F5800" w:rsidP="004F5800">
      <w:pPr>
        <w:spacing w:after="12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4F5800">
        <w:rPr>
          <w:rFonts w:ascii="Times New Roman" w:hAnsi="Times New Roman" w:cs="Times New Roman"/>
          <w:bCs/>
          <w:sz w:val="24"/>
          <w:szCs w:val="24"/>
        </w:rPr>
        <w:t>-</w:t>
      </w:r>
      <w:r w:rsidRPr="004F5800">
        <w:rPr>
          <w:rFonts w:ascii="Times New Roman" w:hAnsi="Times New Roman" w:cs="Times New Roman"/>
          <w:sz w:val="24"/>
          <w:szCs w:val="24"/>
        </w:rPr>
        <w:t xml:space="preserve">  Погрузка и вывоз  пней на полигон бытовых отходов  с предоставлением талонов</w:t>
      </w:r>
      <w:r w:rsidRPr="004F5800">
        <w:rPr>
          <w:rFonts w:ascii="Times New Roman" w:hAnsi="Times New Roman" w:cs="Times New Roman"/>
          <w:bCs/>
          <w:sz w:val="24"/>
          <w:szCs w:val="24"/>
        </w:rPr>
        <w:t>;</w:t>
      </w:r>
    </w:p>
    <w:p w:rsidR="004F5800" w:rsidRPr="004F5800" w:rsidRDefault="004F5800" w:rsidP="004F5800">
      <w:pPr>
        <w:spacing w:after="12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5800">
        <w:rPr>
          <w:rFonts w:ascii="Times New Roman" w:hAnsi="Times New Roman" w:cs="Times New Roman"/>
          <w:i/>
          <w:sz w:val="24"/>
          <w:szCs w:val="24"/>
          <w:u w:val="single"/>
        </w:rPr>
        <w:t>2.Снос аварийных деревьев</w:t>
      </w:r>
    </w:p>
    <w:p w:rsidR="004F5800" w:rsidRPr="004F5800" w:rsidRDefault="004F5800" w:rsidP="004F58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800">
        <w:rPr>
          <w:rFonts w:ascii="Times New Roman" w:hAnsi="Times New Roman" w:cs="Times New Roman"/>
          <w:bCs/>
          <w:sz w:val="24"/>
          <w:szCs w:val="24"/>
        </w:rPr>
        <w:t>Порядок выполнения работ:</w:t>
      </w:r>
    </w:p>
    <w:p w:rsidR="004F5800" w:rsidRPr="004F5800" w:rsidRDefault="004F5800" w:rsidP="004F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800">
        <w:rPr>
          <w:rFonts w:ascii="Times New Roman" w:hAnsi="Times New Roman" w:cs="Times New Roman"/>
          <w:sz w:val="24"/>
          <w:szCs w:val="24"/>
        </w:rPr>
        <w:t>-Установка дорожных знаков и ограждений;</w:t>
      </w:r>
    </w:p>
    <w:p w:rsidR="004F5800" w:rsidRPr="004F5800" w:rsidRDefault="004F5800" w:rsidP="004F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800">
        <w:rPr>
          <w:rFonts w:ascii="Times New Roman" w:hAnsi="Times New Roman" w:cs="Times New Roman"/>
          <w:sz w:val="24"/>
          <w:szCs w:val="24"/>
        </w:rPr>
        <w:t>-Подготовка автовышки и гидроподъемника;</w:t>
      </w:r>
    </w:p>
    <w:p w:rsidR="004F5800" w:rsidRPr="004F5800" w:rsidRDefault="004F5800" w:rsidP="004F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800">
        <w:rPr>
          <w:rFonts w:ascii="Times New Roman" w:hAnsi="Times New Roman" w:cs="Times New Roman"/>
          <w:sz w:val="24"/>
          <w:szCs w:val="24"/>
        </w:rPr>
        <w:t>-Подъем/спуск рабочего в автовышке на заданную высоту;</w:t>
      </w:r>
    </w:p>
    <w:p w:rsidR="004F5800" w:rsidRPr="004F5800" w:rsidRDefault="004F5800" w:rsidP="004F58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800">
        <w:rPr>
          <w:rFonts w:ascii="Times New Roman" w:hAnsi="Times New Roman" w:cs="Times New Roman"/>
          <w:bCs/>
          <w:sz w:val="24"/>
          <w:szCs w:val="24"/>
        </w:rPr>
        <w:t>-Спиливание ствола дерева частями по 0,5м с применением приспособлений для безопасных методов работы;</w:t>
      </w:r>
    </w:p>
    <w:p w:rsidR="004F5800" w:rsidRPr="004F5800" w:rsidRDefault="004F5800" w:rsidP="004F58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800">
        <w:rPr>
          <w:rFonts w:ascii="Times New Roman" w:hAnsi="Times New Roman" w:cs="Times New Roman"/>
          <w:bCs/>
          <w:sz w:val="24"/>
          <w:szCs w:val="24"/>
        </w:rPr>
        <w:t xml:space="preserve">-Валка деревьев, обрезка сучьев и </w:t>
      </w:r>
      <w:proofErr w:type="spellStart"/>
      <w:r w:rsidRPr="004F5800">
        <w:rPr>
          <w:rFonts w:ascii="Times New Roman" w:hAnsi="Times New Roman" w:cs="Times New Roman"/>
          <w:bCs/>
          <w:sz w:val="24"/>
          <w:szCs w:val="24"/>
        </w:rPr>
        <w:t>раскряжовка</w:t>
      </w:r>
      <w:proofErr w:type="spellEnd"/>
      <w:r w:rsidRPr="004F5800">
        <w:rPr>
          <w:rFonts w:ascii="Times New Roman" w:hAnsi="Times New Roman" w:cs="Times New Roman"/>
          <w:bCs/>
          <w:sz w:val="24"/>
          <w:szCs w:val="24"/>
        </w:rPr>
        <w:t xml:space="preserve"> до 2 м.;</w:t>
      </w:r>
    </w:p>
    <w:p w:rsidR="004F5800" w:rsidRPr="004F5800" w:rsidRDefault="004F5800" w:rsidP="004F58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800">
        <w:rPr>
          <w:rFonts w:ascii="Times New Roman" w:hAnsi="Times New Roman" w:cs="Times New Roman"/>
          <w:bCs/>
          <w:sz w:val="24"/>
          <w:szCs w:val="24"/>
        </w:rPr>
        <w:t>-Спиливание скелетных ветвей, вершины ствола;</w:t>
      </w:r>
    </w:p>
    <w:p w:rsidR="004F5800" w:rsidRPr="004F5800" w:rsidRDefault="004F5800" w:rsidP="004F58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800">
        <w:rPr>
          <w:rFonts w:ascii="Times New Roman" w:hAnsi="Times New Roman" w:cs="Times New Roman"/>
          <w:bCs/>
          <w:sz w:val="24"/>
          <w:szCs w:val="24"/>
        </w:rPr>
        <w:t>-Уборка порубочных остатков и их складирование в кучи;</w:t>
      </w:r>
    </w:p>
    <w:p w:rsidR="004F5800" w:rsidRPr="004F5800" w:rsidRDefault="004F5800" w:rsidP="004F5800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4F5800">
        <w:rPr>
          <w:rFonts w:ascii="Times New Roman" w:hAnsi="Times New Roman" w:cs="Times New Roman"/>
          <w:sz w:val="24"/>
          <w:szCs w:val="24"/>
        </w:rPr>
        <w:t>-Погрузка и вывоз веток и кряжей на полигон бытовых отходов.</w:t>
      </w:r>
    </w:p>
    <w:p w:rsidR="004F5800" w:rsidRPr="004F5800" w:rsidRDefault="004F5800" w:rsidP="004F5800">
      <w:pPr>
        <w:spacing w:after="12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4F5800">
        <w:rPr>
          <w:rFonts w:ascii="Times New Roman" w:hAnsi="Times New Roman" w:cs="Times New Roman"/>
          <w:b/>
          <w:i/>
          <w:sz w:val="24"/>
          <w:szCs w:val="24"/>
          <w:u w:val="single"/>
        </w:rPr>
        <w:t>Освещение:</w:t>
      </w:r>
    </w:p>
    <w:p w:rsidR="004F5800" w:rsidRPr="004F5800" w:rsidRDefault="004F5800" w:rsidP="004F58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58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Основные характеристики объекта наружного освещения. </w:t>
      </w:r>
    </w:p>
    <w:p w:rsidR="004F5800" w:rsidRPr="004F5800" w:rsidRDefault="004F5800" w:rsidP="004F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00">
        <w:rPr>
          <w:rFonts w:ascii="Times New Roman" w:eastAsia="Calibri" w:hAnsi="Times New Roman" w:cs="Times New Roman"/>
          <w:sz w:val="24"/>
          <w:szCs w:val="24"/>
        </w:rPr>
        <w:t>Дворовая территория, подлежащая оборудованию наружным освещением – пешеходная зона и детские игровые площадки, расположенные  между  многоквартирных жилых домов №№ 36, 36А. Движение автотранспорта в зоне планируемого наружного освещения  отсутствует.</w:t>
      </w:r>
    </w:p>
    <w:p w:rsidR="004F5800" w:rsidRPr="004F5800" w:rsidRDefault="004F5800" w:rsidP="004F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00">
        <w:rPr>
          <w:rFonts w:ascii="Times New Roman" w:eastAsia="Calibri" w:hAnsi="Times New Roman" w:cs="Times New Roman"/>
          <w:sz w:val="24"/>
          <w:szCs w:val="24"/>
          <w:u w:val="single"/>
        </w:rPr>
        <w:t>Основные  характеристики планируемой линии наружного освещения</w:t>
      </w:r>
      <w:r w:rsidRPr="004F58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800" w:rsidRPr="004F5800" w:rsidRDefault="004F5800" w:rsidP="004F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00">
        <w:rPr>
          <w:rFonts w:ascii="Times New Roman" w:eastAsia="Calibri" w:hAnsi="Times New Roman" w:cs="Times New Roman"/>
          <w:sz w:val="24"/>
          <w:szCs w:val="24"/>
        </w:rPr>
        <w:t xml:space="preserve">- Общая схема  освещения – воздушно-кабельная с расположением светильников типа ЖКУ-150 в кол-ве 9 шт. на 9 существующих столбовых опорах СКЦ-11-2,5 и СВ-11 Кронштейны светильников – металлические </w:t>
      </w:r>
      <w:proofErr w:type="spellStart"/>
      <w:r w:rsidRPr="004F5800">
        <w:rPr>
          <w:rFonts w:ascii="Times New Roman" w:eastAsia="Calibri" w:hAnsi="Times New Roman" w:cs="Times New Roman"/>
          <w:sz w:val="24"/>
          <w:szCs w:val="24"/>
        </w:rPr>
        <w:t>однорожковые</w:t>
      </w:r>
      <w:proofErr w:type="spellEnd"/>
      <w:r w:rsidRPr="004F5800">
        <w:rPr>
          <w:rFonts w:ascii="Times New Roman" w:eastAsia="Calibri" w:hAnsi="Times New Roman" w:cs="Times New Roman"/>
          <w:sz w:val="24"/>
          <w:szCs w:val="24"/>
        </w:rPr>
        <w:t xml:space="preserve"> с углом рожка к горизонту 3-5 град. </w:t>
      </w:r>
    </w:p>
    <w:p w:rsidR="004F5800" w:rsidRPr="004F5800" w:rsidRDefault="004F5800" w:rsidP="004F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00">
        <w:rPr>
          <w:rFonts w:ascii="Times New Roman" w:eastAsia="Calibri" w:hAnsi="Times New Roman" w:cs="Times New Roman"/>
          <w:sz w:val="24"/>
          <w:szCs w:val="24"/>
        </w:rPr>
        <w:t>- Электроснабжение наружного освещения выполнить  по ТУ управляющей компании- владельца многоквартирных жилых домов №№36, 36А ул. Попова. Воздушную часть линии электроснабжения выполнить проводом СИП-2*10, по стене здания - кабелем типа ВВГ по однофазной схеме 0,22кВ.</w:t>
      </w:r>
    </w:p>
    <w:p w:rsidR="004F5800" w:rsidRPr="004F5800" w:rsidRDefault="004F5800" w:rsidP="004F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00">
        <w:rPr>
          <w:rFonts w:ascii="Times New Roman" w:eastAsia="Calibri" w:hAnsi="Times New Roman" w:cs="Times New Roman"/>
          <w:sz w:val="24"/>
          <w:szCs w:val="24"/>
        </w:rPr>
        <w:t>- Для управления включением освещения, учета  потребляемой электрической энергии, защиты от коротких замыканий и перегрузок смонтировать металлический запираемый шкаф ШУНО со встроенными приборами учета электрической энергии, аппаратами защиты от перегрузок и грозовых перенапряжений и защитного отключения (УЗО). Для автоматического включения наружного освещения применить фотореле.</w:t>
      </w:r>
    </w:p>
    <w:p w:rsidR="004F5800" w:rsidRPr="004F5800" w:rsidRDefault="004F5800" w:rsidP="004F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00">
        <w:rPr>
          <w:rFonts w:ascii="Times New Roman" w:eastAsia="Calibri" w:hAnsi="Times New Roman" w:cs="Times New Roman"/>
          <w:sz w:val="24"/>
          <w:szCs w:val="24"/>
        </w:rPr>
        <w:t>- Окончательное техническое решение по архитектуре освещения, в т. ч. модель светильников, конфигурацию и ориентацию кронштейнов согласовать с заказчиком.</w:t>
      </w:r>
    </w:p>
    <w:p w:rsidR="00750A11" w:rsidRDefault="00750A11"/>
    <w:sectPr w:rsidR="0075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00"/>
    <w:rsid w:val="004F5800"/>
    <w:rsid w:val="0075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relyef-nn.ru/mf-08-urna-metallicheska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2017-09-11T07:39:00Z</dcterms:created>
  <dcterms:modified xsi:type="dcterms:W3CDTF">2017-09-11T07:43:00Z</dcterms:modified>
</cp:coreProperties>
</file>